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北京市大兴区瀛海第三幼儿园</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单位职责：为本地学龄前儿童提供优质的保育教育服务。</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机构设置情况：本单位有园长1人，院长兼任本单位书记，副院长2人，分别负责本单位前勤业务及后勤保障工作，安保办副主任1人，行政办副主任1人，保教主任1人。部门设置为：园长室、安保办公室、财务室、教师办公室、保健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w:t>
      </w:r>
      <w:r>
        <w:rPr>
          <w:rFonts w:hint="eastAsia" w:ascii="仿宋_GB2312" w:eastAsia="仿宋_GB2312"/>
          <w:sz w:val="28"/>
          <w:szCs w:val="28"/>
          <w:lang w:eastAsia="zh-CN"/>
        </w:rPr>
        <w:t>、</w:t>
      </w:r>
      <w:r>
        <w:rPr>
          <w:rFonts w:hint="eastAsia" w:ascii="仿宋_GB2312" w:eastAsia="仿宋_GB2312"/>
          <w:sz w:val="28"/>
          <w:szCs w:val="28"/>
          <w:lang w:val="en-US" w:eastAsia="zh-CN"/>
        </w:rPr>
        <w:t>支</w:t>
      </w:r>
      <w:r>
        <w:rPr>
          <w:rFonts w:hint="eastAsia" w:ascii="仿宋_GB2312" w:eastAsia="仿宋_GB2312"/>
          <w:sz w:val="28"/>
          <w:szCs w:val="28"/>
        </w:rPr>
        <w:t>总计</w:t>
      </w:r>
      <w:r>
        <w:rPr>
          <w:rFonts w:ascii="仿宋_GB2312" w:eastAsia="仿宋_GB2312"/>
          <w:sz w:val="28"/>
          <w:szCs w:val="28"/>
        </w:rPr>
        <w:t>1210.84</w:t>
      </w:r>
      <w:r>
        <w:rPr>
          <w:rFonts w:hint="eastAsia" w:ascii="仿宋_GB2312" w:eastAsia="仿宋_GB2312"/>
          <w:sz w:val="28"/>
          <w:szCs w:val="28"/>
        </w:rPr>
        <w:t>万元，</w:t>
      </w:r>
      <w:r>
        <w:rPr>
          <w:rFonts w:ascii="仿宋_GB2312" w:eastAsia="仿宋_GB2312"/>
          <w:sz w:val="28"/>
          <w:szCs w:val="28"/>
        </w:rPr>
        <w:t>比上年增加328.89</w:t>
      </w:r>
      <w:r>
        <w:rPr>
          <w:rFonts w:hint="eastAsia" w:ascii="仿宋_GB2312" w:eastAsia="仿宋_GB2312"/>
          <w:sz w:val="28"/>
          <w:szCs w:val="28"/>
        </w:rPr>
        <w:t>万元，增长</w:t>
      </w:r>
      <w:r>
        <w:rPr>
          <w:rFonts w:ascii="仿宋_GB2312" w:eastAsia="仿宋_GB2312"/>
          <w:sz w:val="28"/>
          <w:szCs w:val="28"/>
        </w:rPr>
        <w:t>37.29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1182.84</w:t>
      </w:r>
      <w:r>
        <w:rPr>
          <w:rFonts w:hint="eastAsia" w:ascii="仿宋_GB2312" w:eastAsia="仿宋_GB2312"/>
          <w:sz w:val="28"/>
          <w:szCs w:val="28"/>
        </w:rPr>
        <w:t>万元，</w:t>
      </w:r>
      <w:r>
        <w:rPr>
          <w:rFonts w:ascii="仿宋_GB2312" w:eastAsia="仿宋_GB2312"/>
          <w:sz w:val="28"/>
          <w:szCs w:val="28"/>
        </w:rPr>
        <w:t>比上年增加328.89</w:t>
      </w:r>
      <w:r>
        <w:rPr>
          <w:rFonts w:hint="eastAsia" w:ascii="仿宋_GB2312" w:eastAsia="仿宋_GB2312"/>
          <w:sz w:val="28"/>
          <w:szCs w:val="28"/>
        </w:rPr>
        <w:t>万元，增长</w:t>
      </w:r>
      <w:r>
        <w:rPr>
          <w:rFonts w:ascii="仿宋_GB2312" w:eastAsia="仿宋_GB2312"/>
          <w:sz w:val="28"/>
          <w:szCs w:val="28"/>
        </w:rPr>
        <w:t>37.29</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1182.84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1182.84</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1210.84</w:t>
      </w:r>
      <w:r>
        <w:rPr>
          <w:rFonts w:hint="eastAsia" w:ascii="仿宋_GB2312" w:eastAsia="仿宋_GB2312"/>
          <w:sz w:val="28"/>
          <w:szCs w:val="28"/>
        </w:rPr>
        <w:t>万元，</w:t>
      </w:r>
      <w:r>
        <w:rPr>
          <w:rFonts w:ascii="仿宋_GB2312" w:eastAsia="仿宋_GB2312"/>
          <w:sz w:val="28"/>
          <w:szCs w:val="28"/>
        </w:rPr>
        <w:t>比上年增加328.89</w:t>
      </w:r>
      <w:r>
        <w:rPr>
          <w:rFonts w:hint="eastAsia" w:ascii="仿宋_GB2312" w:eastAsia="仿宋_GB2312"/>
          <w:sz w:val="28"/>
          <w:szCs w:val="28"/>
        </w:rPr>
        <w:t>万元，增长</w:t>
      </w:r>
      <w:r>
        <w:rPr>
          <w:rFonts w:ascii="仿宋_GB2312" w:eastAsia="仿宋_GB2312"/>
          <w:sz w:val="28"/>
          <w:szCs w:val="28"/>
        </w:rPr>
        <w:t>37.29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517.5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42.74</w:t>
      </w:r>
      <w:r>
        <w:rPr>
          <w:rFonts w:hint="eastAsia" w:ascii="仿宋_GB2312" w:eastAsia="仿宋_GB2312"/>
          <w:sz w:val="28"/>
          <w:szCs w:val="28"/>
          <w:highlight w:val="none"/>
        </w:rPr>
        <w:t>%；项目支出</w:t>
      </w:r>
      <w:r>
        <w:rPr>
          <w:rFonts w:ascii="仿宋_GB2312" w:eastAsia="仿宋_GB2312"/>
          <w:sz w:val="28"/>
          <w:szCs w:val="28"/>
          <w:highlight w:val="none"/>
        </w:rPr>
        <w:t>693.33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57.26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1210.84</w:t>
      </w:r>
      <w:r>
        <w:rPr>
          <w:rFonts w:hint="eastAsia" w:ascii="仿宋_GB2312" w:eastAsia="仿宋_GB2312"/>
          <w:sz w:val="28"/>
          <w:szCs w:val="28"/>
        </w:rPr>
        <w:t>万元，比上年</w:t>
      </w:r>
      <w:r>
        <w:rPr>
          <w:rFonts w:ascii="仿宋_GB2312" w:eastAsia="仿宋_GB2312"/>
          <w:sz w:val="28"/>
          <w:szCs w:val="28"/>
        </w:rPr>
        <w:t>增加328.89</w:t>
      </w:r>
      <w:r>
        <w:rPr>
          <w:rFonts w:hint="eastAsia" w:ascii="仿宋_GB2312" w:eastAsia="仿宋_GB2312"/>
          <w:sz w:val="28"/>
          <w:szCs w:val="28"/>
        </w:rPr>
        <w:t>万元，增长3</w:t>
      </w:r>
      <w:r>
        <w:rPr>
          <w:rFonts w:ascii="仿宋_GB2312" w:eastAsia="仿宋_GB2312"/>
          <w:sz w:val="28"/>
          <w:szCs w:val="28"/>
        </w:rPr>
        <w:t>7.29</w:t>
      </w:r>
      <w:r>
        <w:rPr>
          <w:rFonts w:hint="eastAsia" w:ascii="仿宋_GB2312" w:eastAsia="仿宋_GB2312"/>
          <w:sz w:val="28"/>
          <w:szCs w:val="28"/>
        </w:rPr>
        <w:t>%。主要原因：2024年9月，本单位代管瀛海第六幼儿园开源资金，包含办公费、设备购置项目和信息化项目，导致本单位本年财政拨款总计增加。2024年度财政拨款支出总计</w:t>
      </w:r>
      <w:r>
        <w:rPr>
          <w:rFonts w:ascii="仿宋_GB2312" w:eastAsia="仿宋_GB2312"/>
          <w:sz w:val="28"/>
          <w:szCs w:val="28"/>
        </w:rPr>
        <w:t>1210.84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3</w:t>
      </w:r>
      <w:r>
        <w:rPr>
          <w:rFonts w:ascii="仿宋_GB2312" w:eastAsia="仿宋_GB2312"/>
          <w:sz w:val="28"/>
          <w:szCs w:val="28"/>
        </w:rPr>
        <w:t>28.89</w:t>
      </w:r>
      <w:r>
        <w:rPr>
          <w:rFonts w:hint="eastAsia" w:ascii="仿宋_GB2312" w:eastAsia="仿宋_GB2312"/>
          <w:sz w:val="28"/>
          <w:szCs w:val="28"/>
        </w:rPr>
        <w:t>万元，增长3</w:t>
      </w:r>
      <w:r>
        <w:rPr>
          <w:rFonts w:ascii="仿宋_GB2312" w:eastAsia="仿宋_GB2312"/>
          <w:sz w:val="28"/>
          <w:szCs w:val="28"/>
        </w:rPr>
        <w:t>7.29</w:t>
      </w:r>
      <w:r>
        <w:rPr>
          <w:rFonts w:hint="eastAsia" w:ascii="仿宋_GB2312" w:eastAsia="仿宋_GB2312"/>
          <w:sz w:val="28"/>
          <w:szCs w:val="28"/>
        </w:rPr>
        <w:t xml:space="preserve">%。主要原因：2024年9月，本单位代管瀛海第六幼儿园开源资金，包含办公费、设备购置项目和信息化项目，导致本单位本年财政拨款总计增加。 </w:t>
      </w:r>
    </w:p>
    <w:p>
      <w:pPr>
        <w:numPr>
          <w:ilvl w:val="0"/>
          <w:numId w:val="1"/>
        </w:num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1210.84</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1210.84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1210.84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1210.84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年度年初预算1,094.8</w:t>
      </w:r>
      <w:r>
        <w:rPr>
          <w:rFonts w:hint="eastAsia" w:ascii="仿宋_GB2312" w:eastAsia="仿宋_GB2312"/>
          <w:sz w:val="28"/>
          <w:szCs w:val="28"/>
          <w:lang w:val="en-US" w:eastAsia="zh-CN"/>
        </w:rPr>
        <w:t>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年度决算1,094.8</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pStyle w:val="2"/>
        <w:numPr>
          <w:ilvl w:val="0"/>
          <w:numId w:val="0"/>
        </w:numPr>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“普通教育支出”（款）2024年度年初预算1,094.82万元，2024年度决算1,094.82万元，完成年初预算的100%。主要原因：本单位严格按照预算安排进行支付各项支出。</w:t>
      </w:r>
    </w:p>
    <w:p>
      <w:pPr>
        <w:numPr>
          <w:ilvl w:val="0"/>
          <w:numId w:val="0"/>
        </w:numPr>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3、</w:t>
      </w:r>
      <w:r>
        <w:rPr>
          <w:rFonts w:hint="eastAsia" w:ascii="仿宋_GB2312" w:hAnsi="Times New Roman" w:eastAsia="仿宋_GB2312" w:cs="Times New Roman"/>
          <w:b w:val="0"/>
          <w:bCs w:val="0"/>
          <w:kern w:val="2"/>
          <w:sz w:val="28"/>
          <w:szCs w:val="28"/>
          <w:lang w:val="en-US" w:eastAsia="zh-CN" w:bidi="ar-SA"/>
        </w:rPr>
        <w:t>保障和就业支出（类）2024年度年初预算50.12万元，2024年度决算50.12万元，完成年初预算的100%。其中：</w:t>
      </w:r>
    </w:p>
    <w:p>
      <w:pPr>
        <w:pStyle w:val="2"/>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“行政事业单位养老支出”（款）2024年度年初预算50.12万元，2024年度决算50.12万元，完成年初预算的100%。主要原因：本单位严格按照预算安排进行支付各项支出。</w:t>
      </w:r>
    </w:p>
    <w:p>
      <w:pPr>
        <w:numPr>
          <w:ilvl w:val="0"/>
          <w:numId w:val="0"/>
        </w:numPr>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4、</w:t>
      </w:r>
      <w:r>
        <w:rPr>
          <w:rFonts w:hint="default" w:ascii="仿宋_GB2312" w:hAnsi="Times New Roman" w:eastAsia="仿宋_GB2312" w:cs="Times New Roman"/>
          <w:b w:val="0"/>
          <w:bCs w:val="0"/>
          <w:kern w:val="2"/>
          <w:sz w:val="28"/>
          <w:szCs w:val="28"/>
          <w:lang w:val="en-US" w:eastAsia="zh-CN" w:bidi="ar-SA"/>
        </w:rPr>
        <w:t>卫生健康支出</w:t>
      </w:r>
      <w:r>
        <w:rPr>
          <w:rFonts w:hint="eastAsia" w:ascii="仿宋_GB2312" w:hAnsi="Times New Roman" w:eastAsia="仿宋_GB2312" w:cs="Times New Roman"/>
          <w:b w:val="0"/>
          <w:bCs w:val="0"/>
          <w:kern w:val="2"/>
          <w:sz w:val="28"/>
          <w:szCs w:val="28"/>
          <w:lang w:val="en-US" w:eastAsia="zh-CN" w:bidi="ar-SA"/>
        </w:rPr>
        <w:t>（类）2024年度年初预算37.9万元，2024年度决算37.9万元，完成年初预算的100%。其中：</w:t>
      </w:r>
    </w:p>
    <w:p>
      <w:pPr>
        <w:pStyle w:val="2"/>
        <w:ind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“行政事业单位医疗”（款）2024年度年初预算37.9万元，2024年度决算37.9万元，完成年初预算的100%。主要原因：本单位严格按照预算安排进行支付各项支出。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黑体" w:eastAsia="黑体"/>
          <w:b/>
          <w:sz w:val="28"/>
          <w:szCs w:val="28"/>
          <w:lang w:val="en-US" w:eastAsia="zh-CN"/>
        </w:rPr>
      </w:pPr>
      <w:r>
        <w:rPr>
          <w:rFonts w:hint="eastAsia" w:ascii="仿宋_GB2312" w:eastAsia="仿宋_GB2312"/>
          <w:sz w:val="28"/>
          <w:szCs w:val="28"/>
          <w:lang w:val="en-US" w:eastAsia="zh-CN"/>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lang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国有资本经营预算财政</w:t>
      </w:r>
      <w:r>
        <w:rPr>
          <w:rFonts w:ascii="仿宋_GB2312" w:eastAsia="仿宋_GB2312"/>
          <w:sz w:val="28"/>
          <w:szCs w:val="28"/>
        </w:rPr>
        <w:t>拨款</w:t>
      </w:r>
      <w:r>
        <w:rPr>
          <w:rFonts w:hint="eastAsia" w:ascii="仿宋_GB2312" w:eastAsia="仿宋_GB2312"/>
          <w:sz w:val="28"/>
          <w:szCs w:val="28"/>
          <w:lang w:eastAsia="zh-CN"/>
        </w:rPr>
        <w:t>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517.5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0.77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hint="eastAsia" w:ascii="仿宋_GB2312" w:eastAsia="仿宋_GB2312"/>
          <w:sz w:val="28"/>
          <w:szCs w:val="28"/>
          <w:lang w:val="en-US" w:eastAsia="zh-CN"/>
        </w:rPr>
        <w:t>0.77</w:t>
      </w:r>
      <w:r>
        <w:rPr>
          <w:rFonts w:hint="eastAsia" w:ascii="仿宋_GB2312" w:eastAsia="仿宋_GB2312"/>
          <w:sz w:val="28"/>
          <w:szCs w:val="28"/>
        </w:rPr>
        <w:t>万元。其中：</w:t>
      </w:r>
    </w:p>
    <w:p>
      <w:pPr>
        <w:numPr>
          <w:ilvl w:val="0"/>
          <w:numId w:val="2"/>
        </w:num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因公出国（境）费用。</w:t>
      </w:r>
      <w:r>
        <w:rPr>
          <w:rFonts w:hint="eastAsia" w:ascii="仿宋_GB2312" w:eastAsia="仿宋_GB2312"/>
          <w:sz w:val="28"/>
          <w:szCs w:val="28"/>
          <w:lang w:val="en-US" w:eastAsia="zh-CN"/>
        </w:rPr>
        <w:t>2024年度决算数0万元，比2024年度年初预算数0万元增减无变化，保持一致。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pPr>
        <w:numPr>
          <w:ilvl w:val="0"/>
          <w:numId w:val="2"/>
        </w:numPr>
        <w:spacing w:line="560" w:lineRule="exact"/>
        <w:ind w:left="0" w:leftChars="0" w:firstLine="600" w:firstLineChars="0"/>
        <w:rPr>
          <w:rFonts w:hint="default" w:ascii="仿宋_GB2312" w:eastAsia="仿宋_GB2312"/>
          <w:sz w:val="28"/>
          <w:szCs w:val="28"/>
          <w:lang w:val="en-US"/>
        </w:rPr>
      </w:pPr>
      <w:r>
        <w:rPr>
          <w:rFonts w:hint="eastAsia" w:ascii="仿宋_GB2312" w:eastAsia="仿宋_GB2312"/>
          <w:sz w:val="28"/>
          <w:szCs w:val="28"/>
        </w:rPr>
        <w:t>公务接待费。</w:t>
      </w:r>
      <w:r>
        <w:rPr>
          <w:rFonts w:hint="eastAsia" w:ascii="仿宋_GB2312" w:eastAsia="仿宋_GB2312"/>
          <w:sz w:val="28"/>
          <w:szCs w:val="28"/>
          <w:lang w:val="en-US" w:eastAsia="zh-CN"/>
        </w:rPr>
        <w:t>2024年度决算数0万元，比2024年度年初预算数0万元增减无变化，保持一致。主要原因：</w:t>
      </w:r>
      <w:r>
        <w:rPr>
          <w:rFonts w:hint="eastAsia" w:ascii="仿宋_GB2312" w:eastAsia="仿宋_GB2312"/>
          <w:sz w:val="28"/>
          <w:szCs w:val="28"/>
          <w:lang w:eastAsia="zh-CN"/>
        </w:rPr>
        <w:t>本单位</w:t>
      </w:r>
      <w:r>
        <w:rPr>
          <w:rFonts w:hint="eastAsia" w:ascii="仿宋_GB2312" w:eastAsia="仿宋_GB2312"/>
          <w:sz w:val="28"/>
          <w:szCs w:val="28"/>
          <w:lang w:val="en-US" w:eastAsia="zh-CN"/>
        </w:rPr>
        <w:t>2024年未发生公务接待费。2024年度公务接待费主要用于公务接待事项。公务接待0批次，公务接待0人次。</w:t>
      </w:r>
    </w:p>
    <w:p>
      <w:pPr>
        <w:numPr>
          <w:ilvl w:val="0"/>
          <w:numId w:val="2"/>
        </w:numPr>
        <w:spacing w:line="560" w:lineRule="exact"/>
        <w:ind w:left="0" w:leftChars="0" w:firstLine="600" w:firstLineChars="0"/>
        <w:rPr>
          <w:rFonts w:hint="eastAsia" w:ascii="仿宋_GB2312" w:eastAsia="仿宋_GB2312"/>
          <w:sz w:val="28"/>
          <w:szCs w:val="28"/>
        </w:rPr>
      </w:pPr>
      <w:r>
        <w:rPr>
          <w:rFonts w:hint="eastAsia" w:ascii="仿宋_GB2312" w:eastAsia="仿宋_GB2312"/>
          <w:sz w:val="28"/>
          <w:szCs w:val="28"/>
        </w:rPr>
        <w:t>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0.77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0.77</w:t>
      </w:r>
      <w:r>
        <w:rPr>
          <w:rFonts w:hint="eastAsia" w:ascii="仿宋_GB2312" w:eastAsia="仿宋_GB2312"/>
          <w:sz w:val="28"/>
          <w:szCs w:val="28"/>
        </w:rPr>
        <w:t>万元。其中，其中，公务用车购置费2024年度决算数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万元增加0万元。主要原因：2024年度购置（更新）</w:t>
      </w:r>
      <w:r>
        <w:rPr>
          <w:rFonts w:ascii="仿宋_GB2312" w:eastAsia="仿宋_GB2312"/>
          <w:sz w:val="28"/>
          <w:szCs w:val="28"/>
        </w:rPr>
        <w:t>1</w:t>
      </w:r>
      <w:r>
        <w:rPr>
          <w:rFonts w:hint="eastAsia" w:ascii="仿宋_GB2312" w:eastAsia="仿宋_GB2312"/>
          <w:sz w:val="28"/>
          <w:szCs w:val="28"/>
        </w:rPr>
        <w:t>辆，车</w:t>
      </w:r>
      <w:bookmarkStart w:id="0" w:name="_GoBack"/>
      <w:r>
        <w:rPr>
          <w:rFonts w:hint="eastAsia" w:ascii="仿宋_GB2312" w:eastAsia="仿宋_GB2312"/>
          <w:sz w:val="28"/>
          <w:szCs w:val="28"/>
        </w:rPr>
        <w:t>均购置费</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（购车费用于</w:t>
      </w:r>
      <w:r>
        <w:rPr>
          <w:rFonts w:hint="eastAsia" w:ascii="仿宋_GB2312" w:eastAsia="仿宋_GB2312"/>
          <w:sz w:val="28"/>
          <w:szCs w:val="28"/>
          <w:lang w:val="en-US" w:eastAsia="zh-CN"/>
        </w:rPr>
        <w:t>2023年底支付，2024年提车</w:t>
      </w:r>
      <w:r>
        <w:rPr>
          <w:rFonts w:hint="eastAsia" w:ascii="仿宋_GB2312" w:eastAsia="仿宋_GB2312"/>
          <w:sz w:val="28"/>
          <w:szCs w:val="28"/>
          <w:lang w:eastAsia="zh-CN"/>
        </w:rPr>
        <w:t>）</w:t>
      </w:r>
      <w:r>
        <w:rPr>
          <w:rFonts w:hint="eastAsia" w:ascii="仿宋_GB2312" w:eastAsia="仿宋_GB2312"/>
          <w:sz w:val="28"/>
          <w:szCs w:val="28"/>
        </w:rPr>
        <w:t>。</w:t>
      </w:r>
      <w:bookmarkEnd w:id="0"/>
      <w:r>
        <w:rPr>
          <w:rFonts w:hint="eastAsia" w:ascii="仿宋_GB2312" w:eastAsia="仿宋_GB2312"/>
          <w:sz w:val="28"/>
          <w:szCs w:val="28"/>
        </w:rPr>
        <w:t>公务用车运行维护费2024年度决算数</w:t>
      </w:r>
      <w:r>
        <w:rPr>
          <w:rFonts w:ascii="仿宋_GB2312" w:eastAsia="仿宋_GB2312"/>
          <w:sz w:val="28"/>
          <w:szCs w:val="28"/>
        </w:rPr>
        <w:t>0.77</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万元增加0</w:t>
      </w:r>
      <w:r>
        <w:rPr>
          <w:rFonts w:ascii="仿宋_GB2312" w:eastAsia="仿宋_GB2312"/>
          <w:sz w:val="28"/>
          <w:szCs w:val="28"/>
        </w:rPr>
        <w:t>.77</w:t>
      </w:r>
      <w:r>
        <w:rPr>
          <w:rFonts w:hint="eastAsia" w:ascii="仿宋_GB2312" w:eastAsia="仿宋_GB2312"/>
          <w:sz w:val="28"/>
          <w:szCs w:val="28"/>
        </w:rPr>
        <w:t>万元，主要原因：本单位于2</w:t>
      </w:r>
      <w:r>
        <w:rPr>
          <w:rFonts w:ascii="仿宋_GB2312" w:eastAsia="仿宋_GB2312"/>
          <w:sz w:val="28"/>
          <w:szCs w:val="28"/>
        </w:rPr>
        <w:t>023</w:t>
      </w:r>
      <w:r>
        <w:rPr>
          <w:rFonts w:hint="eastAsia" w:ascii="仿宋_GB2312" w:eastAsia="仿宋_GB2312"/>
          <w:sz w:val="28"/>
          <w:szCs w:val="28"/>
        </w:rPr>
        <w:t>年底购置公务用车，该车辆2</w:t>
      </w:r>
      <w:r>
        <w:rPr>
          <w:rFonts w:ascii="仿宋_GB2312" w:eastAsia="仿宋_GB2312"/>
          <w:sz w:val="28"/>
          <w:szCs w:val="28"/>
        </w:rPr>
        <w:t>024</w:t>
      </w:r>
      <w:r>
        <w:rPr>
          <w:rFonts w:hint="eastAsia" w:ascii="仿宋_GB2312" w:eastAsia="仿宋_GB2312"/>
          <w:sz w:val="28"/>
          <w:szCs w:val="28"/>
        </w:rPr>
        <w:t>年6月提车，2</w:t>
      </w:r>
      <w:r>
        <w:rPr>
          <w:rFonts w:ascii="仿宋_GB2312" w:eastAsia="仿宋_GB2312"/>
          <w:sz w:val="28"/>
          <w:szCs w:val="28"/>
        </w:rPr>
        <w:t>024</w:t>
      </w:r>
      <w:r>
        <w:rPr>
          <w:rFonts w:hint="eastAsia" w:ascii="仿宋_GB2312" w:eastAsia="仿宋_GB2312"/>
          <w:sz w:val="28"/>
          <w:szCs w:val="28"/>
        </w:rPr>
        <w:t>年车辆运行维护费在当年追加。2024年度公务用车保有量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无机关运行经费</w:t>
      </w:r>
      <w:r>
        <w:rPr>
          <w:rFonts w:hint="eastAsia" w:ascii="仿宋_GB2312" w:eastAsia="仿宋_GB2312"/>
          <w:sz w:val="28"/>
          <w:szCs w:val="28"/>
        </w:rPr>
        <w:t>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64</w:t>
      </w:r>
      <w:r>
        <w:rPr>
          <w:rFonts w:hint="eastAsia" w:ascii="仿宋_GB2312" w:eastAsia="仿宋_GB2312"/>
          <w:sz w:val="28"/>
          <w:szCs w:val="28"/>
        </w:rPr>
        <w:t>万元，其中：政府采购货物支出</w:t>
      </w:r>
      <w:r>
        <w:rPr>
          <w:rFonts w:ascii="仿宋_GB2312" w:eastAsia="仿宋_GB2312"/>
          <w:sz w:val="28"/>
          <w:szCs w:val="28"/>
        </w:rPr>
        <w:t>64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元，占政府采购支出总额的</w:t>
      </w:r>
      <w:r>
        <w:rPr>
          <w:rFonts w:ascii="仿宋_GB2312" w:eastAsia="仿宋_GB2312"/>
          <w:sz w:val="28"/>
          <w:szCs w:val="28"/>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12月31日，北京市大兴区瀛海第三幼儿园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7.卫生健康支出事业单位医疗：反映财政部门安排的事业单位基本医疗保险缴费经费。</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8.卫生健康支出公务员医疗补助：反映财政部门安排的公务员医疗补助支出。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9社会保障支出机关事业单位基本养老保险：反映机关事业单位实施养老保险制度由单位实际缴纳的基本养老保险费支出。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10.社会保障支出机关事业安慰职业年金：反映机关事业单位实施养老保险制度由单位缴纳的职业年金支出。</w:t>
      </w:r>
    </w:p>
    <w:p>
      <w:pPr>
        <w:ind w:firstLine="420" w:firstLineChars="150"/>
        <w:rPr>
          <w:rFonts w:hint="default" w:ascii="仿宋_GB2312" w:eastAsia="仿宋_GB2312"/>
          <w:sz w:val="28"/>
          <w:szCs w:val="28"/>
          <w:lang w:val="en-US" w:eastAsia="zh-CN"/>
        </w:rPr>
      </w:pPr>
    </w:p>
    <w:p>
      <w:pPr>
        <w:pStyle w:val="2"/>
        <w:rPr>
          <w:rFonts w:hint="default"/>
          <w:lang w:val="en-US" w:eastAsia="zh-CN"/>
        </w:rPr>
      </w:pPr>
    </w:p>
    <w:p>
      <w:pPr>
        <w:ind w:firstLine="420" w:firstLineChars="150"/>
        <w:rPr>
          <w:rFonts w:hint="default" w:ascii="仿宋_GB2312" w:eastAsia="仿宋_GB2312"/>
          <w:sz w:val="28"/>
          <w:szCs w:val="28"/>
          <w:lang w:val="en-US" w:eastAsia="zh-CN"/>
        </w:rPr>
      </w:pPr>
    </w:p>
    <w:p>
      <w:pPr>
        <w:pStyle w:val="2"/>
        <w:rPr>
          <w:rFonts w:hint="default" w:ascii="仿宋_GB2312" w:hAnsi="Times New Roman" w:eastAsia="仿宋_GB2312" w:cs="Times New Roman"/>
          <w:b w:val="0"/>
          <w:bCs w:val="0"/>
          <w:kern w:val="2"/>
          <w:sz w:val="28"/>
          <w:szCs w:val="28"/>
          <w:lang w:val="en-US" w:eastAsia="zh-CN" w:bidi="ar-SA"/>
        </w:rPr>
      </w:pPr>
    </w:p>
    <w:p>
      <w:pPr>
        <w:rPr>
          <w:rFonts w:hint="default" w:ascii="仿宋_GB2312" w:hAnsi="Times New Roman" w:eastAsia="仿宋_GB2312" w:cs="Times New Roman"/>
          <w:b w:val="0"/>
          <w:bCs w:val="0"/>
          <w:kern w:val="2"/>
          <w:sz w:val="28"/>
          <w:szCs w:val="28"/>
          <w:lang w:val="en-US" w:eastAsia="zh-CN" w:bidi="ar-SA"/>
        </w:rPr>
      </w:pPr>
    </w:p>
    <w:p>
      <w:pPr>
        <w:pStyle w:val="2"/>
        <w:rPr>
          <w:rFonts w:hint="default"/>
          <w:lang w:val="en-US" w:eastAsia="zh-CN"/>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BE5CF9"/>
    <w:multiLevelType w:val="singleLevel"/>
    <w:tmpl w:val="89BE5CF9"/>
    <w:lvl w:ilvl="0" w:tentative="0">
      <w:start w:val="4"/>
      <w:numFmt w:val="chineseCounting"/>
      <w:suff w:val="nothing"/>
      <w:lvlText w:val="%1、"/>
      <w:lvlJc w:val="left"/>
      <w:rPr>
        <w:rFonts w:hint="eastAsia"/>
      </w:rPr>
    </w:lvl>
  </w:abstractNum>
  <w:abstractNum w:abstractNumId="1">
    <w:nsid w:val="FFF7850B"/>
    <w:multiLevelType w:val="singleLevel"/>
    <w:tmpl w:val="FFF7850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5AC7F38"/>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64812EF"/>
    <w:rsid w:val="39761726"/>
    <w:rsid w:val="3A8E35DC"/>
    <w:rsid w:val="3C684897"/>
    <w:rsid w:val="433E495C"/>
    <w:rsid w:val="438A382A"/>
    <w:rsid w:val="489F2FD7"/>
    <w:rsid w:val="4AC27CB3"/>
    <w:rsid w:val="4BF72BEF"/>
    <w:rsid w:val="4FA90297"/>
    <w:rsid w:val="4FC41A43"/>
    <w:rsid w:val="51DB3C59"/>
    <w:rsid w:val="550C0952"/>
    <w:rsid w:val="55762E42"/>
    <w:rsid w:val="57A7B272"/>
    <w:rsid w:val="58470068"/>
    <w:rsid w:val="58747CAC"/>
    <w:rsid w:val="5A1720F9"/>
    <w:rsid w:val="5B9C37C2"/>
    <w:rsid w:val="5BA7C654"/>
    <w:rsid w:val="5D8D2C85"/>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4A7A67"/>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1182.84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517.5</c:v>
                </c:pt>
                <c:pt idx="1">
                  <c:v>693.33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3</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2025-11-06T08:50:31Z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